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 xml:space="preserve">107bis-e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202396</w:t>
      </w:r>
    </w:p>
    <w:p>
      <w:p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eastAsia="宋体" w:cs="Arial"/>
          <w:b/>
          <w:bCs/>
          <w:color w:val="000000"/>
          <w:sz w:val="24"/>
          <w:szCs w:val="24"/>
          <w:lang w:val="en-US" w:eastAsia="zh-CN"/>
        </w:rPr>
        <w:t>20-30</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April</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10.2.2.1</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Left issue</w:t>
      </w:r>
      <w:r>
        <w:rPr>
          <w:rFonts w:hint="eastAsia" w:ascii="Arial" w:hAnsi="Arial"/>
          <w:sz w:val="24"/>
          <w:lang w:val="en-US" w:eastAsia="zh-CN"/>
        </w:rPr>
        <w:t xml:space="preserve">s for MLB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last RAN3 meeting, the metrics for MLB was discussed in [1], and some agreements have been reached. However, there are still some issues of MLB which needs further study. In this contribution, we will clarify the reporting mechanism of MLB and further discuss the remaining metrics for MLB in Release 16.</w:t>
      </w:r>
    </w:p>
    <w:p>
      <w:pPr>
        <w:pStyle w:val="2"/>
      </w:pPr>
      <w:r>
        <w:rPr>
          <w:rFonts w:hint="eastAsia"/>
          <w:lang w:val="en-US" w:eastAsia="zh-CN"/>
        </w:rPr>
        <w:t>Discussion</w:t>
      </w:r>
    </w:p>
    <w:p>
      <w:pPr>
        <w:pStyle w:val="3"/>
        <w:bidi w:val="0"/>
        <w:rPr>
          <w:sz w:val="28"/>
          <w:szCs w:val="18"/>
        </w:rPr>
      </w:pPr>
      <w:bookmarkStart w:id="3" w:name="OLE_LINK2"/>
      <w:bookmarkStart w:id="4" w:name="_Toc14821262"/>
      <w:bookmarkStart w:id="5" w:name="OLE_LINK3"/>
      <w:bookmarkStart w:id="6" w:name="OLE_LINK6"/>
      <w:bookmarkStart w:id="7" w:name="OLE_LINK4"/>
      <w:r>
        <w:rPr>
          <w:rFonts w:hint="eastAsia"/>
          <w:sz w:val="28"/>
          <w:szCs w:val="18"/>
          <w:lang w:val="en-US" w:eastAsia="zh-CN"/>
        </w:rPr>
        <w:t>Reporting Mechanism of MLB</w:t>
      </w:r>
    </w:p>
    <w:p>
      <w:pPr>
        <w:pStyle w:val="32"/>
        <w:bidi w:val="0"/>
        <w:rPr>
          <w:rFonts w:hint="default" w:ascii="Calibri" w:hAnsi="Calibri" w:cs="Calibri"/>
          <w:b/>
          <w:bCs/>
          <w:color w:val="00B050"/>
          <w:sz w:val="18"/>
          <w:szCs w:val="24"/>
          <w:u w:val="single"/>
          <w:lang w:val="en-US"/>
        </w:rPr>
      </w:pPr>
      <w:r>
        <w:rPr>
          <w:rFonts w:hint="eastAsia"/>
          <w:sz w:val="20"/>
          <w:szCs w:val="20"/>
          <w:lang w:val="en-US" w:eastAsia="zh-CN"/>
        </w:rPr>
        <w:t>One of the agreements in last meeting is shown as follows:</w:t>
      </w:r>
    </w:p>
    <w:p>
      <w:pPr>
        <w:widowControl w:val="0"/>
        <w:spacing w:after="0"/>
        <w:ind w:left="144" w:hanging="144"/>
        <w:rPr>
          <w:rFonts w:ascii="Calibri" w:hAnsi="Calibri" w:cs="Calibri"/>
          <w:b/>
          <w:bCs/>
          <w:color w:val="00B050"/>
          <w:sz w:val="18"/>
          <w:szCs w:val="24"/>
          <w:highlight w:val="none"/>
          <w:u w:val="none"/>
        </w:rPr>
      </w:pPr>
      <w:r>
        <w:rPr>
          <w:rFonts w:ascii="Calibri" w:hAnsi="Calibri" w:cs="Calibri"/>
          <w:b/>
          <w:bCs/>
          <w:color w:val="00B050"/>
          <w:sz w:val="18"/>
          <w:szCs w:val="24"/>
          <w:highlight w:val="none"/>
          <w:u w:val="none"/>
        </w:rPr>
        <w:t xml:space="preserve">Need to clarify what happens if we try to add a cell that is already initiated for reporting:  </w:t>
      </w:r>
      <w:bookmarkStart w:id="8" w:name="OLE_LINK5"/>
      <w:r>
        <w:rPr>
          <w:rFonts w:ascii="Calibri" w:hAnsi="Calibri" w:cs="Calibri"/>
          <w:b/>
          <w:bCs/>
          <w:color w:val="00B050"/>
          <w:sz w:val="18"/>
          <w:szCs w:val="24"/>
          <w:highlight w:val="none"/>
          <w:u w:val="none"/>
        </w:rPr>
        <w:t>If measurements are already initiated</w:t>
      </w:r>
    </w:p>
    <w:p>
      <w:pPr>
        <w:widowControl w:val="0"/>
        <w:spacing w:after="0"/>
        <w:ind w:left="144" w:hanging="144"/>
        <w:rPr>
          <w:rFonts w:ascii="Calibri" w:hAnsi="Calibri" w:cs="Calibri"/>
          <w:b/>
          <w:bCs/>
          <w:color w:val="00B050"/>
          <w:sz w:val="18"/>
          <w:szCs w:val="24"/>
          <w:highlight w:val="none"/>
          <w:u w:val="none"/>
        </w:rPr>
      </w:pPr>
      <w:r>
        <w:rPr>
          <w:rFonts w:ascii="Calibri" w:hAnsi="Calibri" w:cs="Calibri"/>
          <w:b/>
          <w:bCs/>
          <w:color w:val="00B050"/>
          <w:sz w:val="18"/>
          <w:szCs w:val="24"/>
          <w:highlight w:val="none"/>
          <w:u w:val="none"/>
        </w:rPr>
        <w:t>for a cell indicated in the Cell To Report IE, this information shall be ignored</w:t>
      </w:r>
      <w:bookmarkEnd w:id="8"/>
      <w:r>
        <w:rPr>
          <w:rFonts w:ascii="Calibri" w:hAnsi="Calibri" w:cs="Calibri"/>
          <w:b/>
          <w:bCs/>
          <w:color w:val="00B050"/>
          <w:sz w:val="18"/>
          <w:szCs w:val="24"/>
          <w:highlight w:val="none"/>
          <w:u w:val="none"/>
        </w:rPr>
        <w:t>.</w:t>
      </w:r>
    </w:p>
    <w:p>
      <w:pPr>
        <w:widowControl w:val="0"/>
        <w:spacing w:after="0"/>
        <w:ind w:left="144" w:hanging="144"/>
        <w:rPr>
          <w:rFonts w:ascii="Calibri" w:hAnsi="Calibri" w:cs="Calibri"/>
          <w:b/>
          <w:bCs/>
          <w:color w:val="00B050"/>
          <w:sz w:val="18"/>
          <w:szCs w:val="24"/>
          <w:highlight w:val="none"/>
          <w:u w:val="none"/>
        </w:rPr>
      </w:pP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However, th</w:t>
      </w:r>
      <w:r>
        <w:rPr>
          <w:rFonts w:hint="eastAsia" w:cs="Times New Roman"/>
          <w:sz w:val="20"/>
          <w:szCs w:val="20"/>
          <w:highlight w:val="none"/>
          <w:u w:val="none"/>
          <w:lang w:val="en-US" w:eastAsia="zh-CN"/>
        </w:rPr>
        <w:t>e</w:t>
      </w:r>
      <w:r>
        <w:rPr>
          <w:rFonts w:hint="eastAsia" w:eastAsia="宋体" w:cs="Times New Roman"/>
          <w:sz w:val="20"/>
          <w:szCs w:val="20"/>
          <w:highlight w:val="none"/>
          <w:u w:val="none"/>
          <w:lang w:val="en-US" w:eastAsia="zh-CN"/>
        </w:rPr>
        <w:t xml:space="preserve"> above agreement seems not very considerate. For example, if the SSB </w:t>
      </w:r>
      <w:r>
        <w:rPr>
          <w:rFonts w:hint="eastAsia" w:cs="Times New Roman"/>
          <w:sz w:val="20"/>
          <w:szCs w:val="20"/>
          <w:highlight w:val="none"/>
          <w:u w:val="none"/>
          <w:lang w:val="en-US" w:eastAsia="zh-CN"/>
        </w:rPr>
        <w:t>index</w:t>
      </w:r>
      <w:r>
        <w:rPr>
          <w:rFonts w:hint="eastAsia" w:eastAsia="宋体" w:cs="Times New Roman"/>
          <w:sz w:val="20"/>
          <w:szCs w:val="20"/>
          <w:highlight w:val="none"/>
          <w:u w:val="none"/>
          <w:lang w:val="en-US" w:eastAsia="zh-CN"/>
        </w:rPr>
        <w:t xml:space="preserve"> within the cell that is </w:t>
      </w:r>
      <w:r>
        <w:rPr>
          <w:rFonts w:hint="eastAsia" w:cs="Times New Roman"/>
          <w:sz w:val="20"/>
          <w:szCs w:val="20"/>
          <w:highlight w:val="none"/>
          <w:u w:val="none"/>
          <w:lang w:val="en-US" w:eastAsia="zh-CN"/>
        </w:rPr>
        <w:t xml:space="preserve">already initiated for reporting has been changed, the Resource Status Request message should not be ignored, because this measurement should be regarded as a new measurement. </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Assuming the SSB indexes in the original measurement are SSB1 and SSB2, this scenario of adding a cell that is already initiated for reporting can be divided into three cases.</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1: The SSB indexes in the new measurement are still SSB1 and SSB2.</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2: The SSB indexes in the new measurement are SSB1, SSB2 and SSB3.</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3: The SSB indexes in the new measurement are SSB1, SSB3 and SSB4.</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For Case 1, it is obvious that the Resource Status Request message shall be ignored as there is not any new SSB to be measured.</w:t>
      </w:r>
    </w:p>
    <w:p>
      <w:pPr>
        <w:rPr>
          <w:rFonts w:hint="default"/>
          <w:b/>
          <w:bCs/>
          <w:u w:val="none"/>
          <w:lang w:val="en-US" w:eastAsia="zh-CN"/>
        </w:rPr>
      </w:pPr>
      <w:r>
        <w:rPr>
          <w:rFonts w:hint="eastAsia" w:cs="Times New Roman"/>
          <w:sz w:val="20"/>
          <w:szCs w:val="20"/>
          <w:highlight w:val="none"/>
          <w:u w:val="none"/>
          <w:lang w:val="en-US" w:eastAsia="zh-CN"/>
        </w:rPr>
        <w:t xml:space="preserve">For Case 2 and Case 3, as the SSB3 and SSB 4 are new SSBs to be measured, the new Measurement ID should be provided and the new measurement should be triggered. </w:t>
      </w:r>
    </w:p>
    <w:bookmarkEnd w:id="3"/>
    <w:bookmarkEnd w:id="4"/>
    <w:p>
      <w:pPr>
        <w:widowControl w:val="0"/>
        <w:spacing w:after="0"/>
        <w:ind w:left="144" w:hanging="144"/>
        <w:rPr>
          <w:rFonts w:hint="default" w:ascii="Times New Roman" w:hAnsi="Times New Roman" w:cs="Times New Roman"/>
          <w:b/>
          <w:bCs/>
          <w:color w:val="00B050"/>
          <w:sz w:val="20"/>
          <w:szCs w:val="28"/>
          <w:highlight w:val="none"/>
          <w:u w:val="none"/>
        </w:rPr>
      </w:pPr>
      <w:bookmarkStart w:id="9" w:name="OLE_LINK7"/>
      <w:r>
        <w:rPr>
          <w:rFonts w:hint="eastAsia"/>
          <w:b/>
          <w:bCs/>
          <w:u w:val="none"/>
          <w:lang w:val="en-US" w:eastAsia="zh-CN"/>
        </w:rPr>
        <w:t xml:space="preserve">Proposal 1: The  agreement of last meeting about the reporting mechanism should be changed to </w:t>
      </w:r>
      <w:r>
        <w:rPr>
          <w:rFonts w:hint="default"/>
          <w:b/>
          <w:bCs/>
          <w:u w:val="none"/>
          <w:lang w:val="en-US" w:eastAsia="zh-CN"/>
        </w:rPr>
        <w:t>“</w:t>
      </w:r>
      <w:r>
        <w:rPr>
          <w:rFonts w:hint="default" w:ascii="Times New Roman" w:hAnsi="Times New Roman" w:cs="Times New Roman"/>
          <w:b/>
          <w:bCs/>
          <w:color w:val="00B050"/>
          <w:sz w:val="20"/>
          <w:szCs w:val="28"/>
          <w:highlight w:val="none"/>
          <w:u w:val="none"/>
        </w:rPr>
        <w:t>If</w:t>
      </w:r>
    </w:p>
    <w:p>
      <w:pPr>
        <w:widowControl w:val="0"/>
        <w:spacing w:after="0"/>
        <w:ind w:left="144" w:hanging="144"/>
        <w:rPr>
          <w:rFonts w:hint="eastAsia" w:ascii="Times New Roman" w:hAnsi="Times New Roman" w:cs="Times New Roman"/>
          <w:b/>
          <w:bCs/>
          <w:color w:val="00B050"/>
          <w:sz w:val="20"/>
          <w:szCs w:val="28"/>
          <w:highlight w:val="yellow"/>
          <w:u w:val="none"/>
          <w:lang w:val="en-US" w:eastAsia="zh-CN"/>
        </w:rPr>
      </w:pPr>
      <w:r>
        <w:rPr>
          <w:rFonts w:hint="default" w:ascii="Times New Roman" w:hAnsi="Times New Roman" w:cs="Times New Roman"/>
          <w:b/>
          <w:bCs/>
          <w:color w:val="00B050"/>
          <w:sz w:val="20"/>
          <w:szCs w:val="28"/>
          <w:highlight w:val="none"/>
          <w:u w:val="none"/>
        </w:rPr>
        <w:t>measurements are already initiated</w:t>
      </w:r>
      <w:r>
        <w:rPr>
          <w:rFonts w:hint="eastAsia" w:cs="Times New Roman"/>
          <w:b/>
          <w:bCs/>
          <w:color w:val="00B050"/>
          <w:sz w:val="20"/>
          <w:szCs w:val="28"/>
          <w:highlight w:val="none"/>
          <w:u w:val="none"/>
          <w:lang w:val="en-US" w:eastAsia="zh-CN"/>
        </w:rPr>
        <w:t xml:space="preserve"> </w:t>
      </w:r>
      <w:r>
        <w:rPr>
          <w:rFonts w:hint="default" w:ascii="Times New Roman" w:hAnsi="Times New Roman" w:cs="Times New Roman"/>
          <w:b/>
          <w:bCs/>
          <w:color w:val="00B050"/>
          <w:sz w:val="20"/>
          <w:szCs w:val="28"/>
          <w:highlight w:val="none"/>
          <w:u w:val="none"/>
        </w:rPr>
        <w:t>for a cell indicated in the Cell To Report IE</w:t>
      </w:r>
      <w:r>
        <w:rPr>
          <w:rFonts w:hint="eastAsia" w:ascii="Times New Roman" w:hAnsi="Times New Roman" w:cs="Times New Roman"/>
          <w:b/>
          <w:bCs/>
          <w:color w:val="00B050"/>
          <w:sz w:val="20"/>
          <w:szCs w:val="28"/>
          <w:highlight w:val="none"/>
          <w:u w:val="none"/>
          <w:lang w:val="en-US" w:eastAsia="zh-CN"/>
        </w:rPr>
        <w:t xml:space="preserve"> </w:t>
      </w:r>
      <w:r>
        <w:rPr>
          <w:rFonts w:hint="eastAsia" w:cs="Times New Roman"/>
          <w:b/>
          <w:bCs/>
          <w:color w:val="00B050"/>
          <w:sz w:val="20"/>
          <w:szCs w:val="28"/>
          <w:highlight w:val="yellow"/>
          <w:u w:val="none"/>
          <w:lang w:val="en-US" w:eastAsia="zh-CN"/>
        </w:rPr>
        <w:t xml:space="preserve">and </w:t>
      </w:r>
      <w:r>
        <w:rPr>
          <w:rFonts w:hint="eastAsia" w:ascii="Times New Roman" w:hAnsi="Times New Roman" w:cs="Times New Roman"/>
          <w:b/>
          <w:bCs/>
          <w:color w:val="00B050"/>
          <w:sz w:val="20"/>
          <w:szCs w:val="28"/>
          <w:highlight w:val="yellow"/>
          <w:u w:val="none"/>
          <w:lang w:val="en-US" w:eastAsia="zh-CN"/>
        </w:rPr>
        <w:t>with the same Measurement</w:t>
      </w:r>
    </w:p>
    <w:p>
      <w:pPr>
        <w:widowControl w:val="0"/>
        <w:spacing w:after="0"/>
        <w:ind w:left="144" w:hanging="144"/>
        <w:rPr>
          <w:rFonts w:hint="default"/>
          <w:color w:val="auto"/>
          <w:sz w:val="20"/>
          <w:szCs w:val="20"/>
          <w:lang w:val="en-US" w:eastAsia="zh-CN"/>
        </w:rPr>
      </w:pPr>
      <w:r>
        <w:rPr>
          <w:rFonts w:hint="eastAsia" w:ascii="Times New Roman" w:hAnsi="Times New Roman" w:cs="Times New Roman"/>
          <w:b/>
          <w:bCs/>
          <w:color w:val="00B050"/>
          <w:sz w:val="20"/>
          <w:szCs w:val="28"/>
          <w:highlight w:val="yellow"/>
          <w:u w:val="none"/>
          <w:lang w:val="en-US" w:eastAsia="zh-CN"/>
        </w:rPr>
        <w:t>ID</w:t>
      </w:r>
      <w:r>
        <w:rPr>
          <w:rFonts w:hint="default" w:ascii="Times New Roman" w:hAnsi="Times New Roman" w:cs="Times New Roman"/>
          <w:b/>
          <w:bCs/>
          <w:color w:val="00B050"/>
          <w:sz w:val="20"/>
          <w:szCs w:val="28"/>
          <w:highlight w:val="none"/>
          <w:u w:val="none"/>
        </w:rPr>
        <w:t>,</w:t>
      </w:r>
      <w:r>
        <w:rPr>
          <w:rFonts w:hint="eastAsia" w:cs="Times New Roman"/>
          <w:b/>
          <w:bCs/>
          <w:color w:val="00B050"/>
          <w:sz w:val="20"/>
          <w:szCs w:val="28"/>
          <w:highlight w:val="none"/>
          <w:u w:val="none"/>
          <w:lang w:val="en-US" w:eastAsia="zh-CN"/>
        </w:rPr>
        <w:t xml:space="preserve"> </w:t>
      </w:r>
      <w:r>
        <w:rPr>
          <w:rFonts w:hint="default" w:ascii="Times New Roman" w:hAnsi="Times New Roman" w:cs="Times New Roman"/>
          <w:b/>
          <w:bCs/>
          <w:color w:val="00B050"/>
          <w:sz w:val="20"/>
          <w:szCs w:val="28"/>
          <w:highlight w:val="none"/>
          <w:u w:val="none"/>
        </w:rPr>
        <w:t>this information shall be ignored</w:t>
      </w:r>
      <w:r>
        <w:rPr>
          <w:rFonts w:hint="default"/>
          <w:b/>
          <w:bCs/>
          <w:u w:val="none"/>
          <w:lang w:val="en-US" w:eastAsia="zh-CN"/>
        </w:rPr>
        <w:t>”</w:t>
      </w:r>
      <w:r>
        <w:rPr>
          <w:rFonts w:hint="eastAsia"/>
          <w:b/>
          <w:bCs/>
          <w:u w:val="none"/>
          <w:lang w:val="en-US" w:eastAsia="zh-CN"/>
        </w:rPr>
        <w:t xml:space="preserve">. </w:t>
      </w:r>
      <w:bookmarkEnd w:id="9"/>
    </w:p>
    <w:p>
      <w:pPr>
        <w:pStyle w:val="3"/>
        <w:bidi w:val="0"/>
        <w:rPr>
          <w:sz w:val="28"/>
          <w:szCs w:val="18"/>
        </w:rPr>
      </w:pPr>
      <w:r>
        <w:rPr>
          <w:rFonts w:hint="eastAsia"/>
          <w:sz w:val="28"/>
          <w:szCs w:val="18"/>
          <w:lang w:val="en-US" w:eastAsia="zh-CN"/>
        </w:rPr>
        <w:t>Remaining Metrics for MLB</w:t>
      </w:r>
    </w:p>
    <w:p>
      <w:pPr>
        <w:pStyle w:val="4"/>
        <w:bidi w:val="0"/>
        <w:rPr>
          <w:sz w:val="24"/>
          <w:szCs w:val="18"/>
        </w:rPr>
      </w:pPr>
      <w:r>
        <w:rPr>
          <w:rFonts w:hint="eastAsia"/>
          <w:sz w:val="24"/>
          <w:szCs w:val="18"/>
          <w:lang w:val="en-US" w:eastAsia="zh-CN"/>
        </w:rPr>
        <w:t>TNL Capacity Indicator</w:t>
      </w:r>
    </w:p>
    <w:p>
      <w:pPr>
        <w:rPr>
          <w:rFonts w:hint="default"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For TNL Load, although it has been supported over the different interfaces, the granularity for reporting has not been decided yet. In disaggregated gNB scenario, i.e. CU-DU split and CP/UP separation, the TNL load over E</w:t>
      </w:r>
      <w:r>
        <w:rPr>
          <w:rFonts w:hint="eastAsia" w:cs="Times New Roman"/>
          <w:sz w:val="20"/>
          <w:szCs w:val="20"/>
          <w:highlight w:val="none"/>
          <w:u w:val="none"/>
          <w:lang w:val="en-US" w:eastAsia="zh-CN"/>
        </w:rPr>
        <w:t>N</w:t>
      </w:r>
      <w:r>
        <w:rPr>
          <w:rFonts w:hint="eastAsia" w:eastAsia="宋体" w:cs="Times New Roman"/>
          <w:sz w:val="20"/>
          <w:szCs w:val="20"/>
          <w:highlight w:val="none"/>
          <w:u w:val="none"/>
          <w:lang w:val="en-US" w:eastAsia="zh-CN"/>
        </w:rPr>
        <w:t>-DC X2 and Xn should support different kinds of granularity for reporting.</w:t>
      </w:r>
    </w:p>
    <w:p>
      <w:pPr>
        <w:rPr>
          <w:rFonts w:hint="eastAsia"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From the BL CR for TS38.463 and 38.473, the TNL load over F1 supports per-cell reporting, while the TNL load over E1 supports the per-node reporting. As the interface between different nodes, the EN-DC X2 and Xn should support the TNL load </w:t>
      </w:r>
      <w:r>
        <w:rPr>
          <w:rFonts w:hint="eastAsia" w:cs="Times New Roman"/>
          <w:sz w:val="20"/>
          <w:szCs w:val="20"/>
          <w:highlight w:val="none"/>
          <w:u w:val="none"/>
          <w:lang w:val="en-US" w:eastAsia="zh-CN"/>
        </w:rPr>
        <w:t>for</w:t>
      </w:r>
      <w:r>
        <w:rPr>
          <w:rFonts w:hint="eastAsia" w:eastAsia="宋体" w:cs="Times New Roman"/>
          <w:sz w:val="20"/>
          <w:szCs w:val="20"/>
          <w:highlight w:val="none"/>
          <w:u w:val="none"/>
          <w:lang w:val="en-US" w:eastAsia="zh-CN"/>
        </w:rPr>
        <w:t xml:space="preserve"> both per-cell reporting and per-node reporting.</w:t>
      </w:r>
    </w:p>
    <w:p>
      <w:pPr>
        <w:rPr>
          <w:rFonts w:hint="eastAsia"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Therefore, For Xn interface, the TNL load should support both NG TNL load and F1 TNL load</w:t>
      </w:r>
      <w:r>
        <w:rPr>
          <w:rFonts w:hint="eastAsia" w:eastAsia="宋体" w:cs="Times New Roman"/>
          <w:sz w:val="20"/>
          <w:szCs w:val="20"/>
          <w:highlight w:val="none"/>
          <w:u w:val="none"/>
          <w:lang w:val="en-US" w:eastAsia="zh-CN"/>
        </w:rPr>
        <w:t>, similarly, the TNL load over EN-DC X2 should support both S1 TNL load and F1 TNL load</w:t>
      </w:r>
      <w:r>
        <w:rPr>
          <w:rFonts w:hint="eastAsia" w:eastAsia="宋体" w:cs="Times New Roman"/>
          <w:sz w:val="20"/>
          <w:szCs w:val="20"/>
          <w:highlight w:val="none"/>
          <w:u w:val="none"/>
          <w:lang w:val="en-US" w:eastAsia="zh-CN"/>
        </w:rPr>
        <w:t xml:space="preserve">. </w:t>
      </w:r>
    </w:p>
    <w:p>
      <w:pPr>
        <w:rPr>
          <w:rFonts w:hint="eastAsia"/>
          <w:b/>
          <w:bCs/>
          <w:highlight w:val="none"/>
          <w:u w:val="none"/>
          <w:lang w:val="en-US" w:eastAsia="zh-CN"/>
        </w:rPr>
      </w:pPr>
      <w:bookmarkStart w:id="10" w:name="OLE_LINK10"/>
      <w:r>
        <w:rPr>
          <w:rFonts w:hint="eastAsia"/>
          <w:b/>
          <w:bCs/>
          <w:highlight w:val="none"/>
          <w:u w:val="none"/>
          <w:lang w:val="en-US" w:eastAsia="zh-CN"/>
        </w:rPr>
        <w:t>Proposal 2: Both the per-cell and per-node TNL load should be supported over EN-DC X2 and Xn.</w:t>
      </w:r>
    </w:p>
    <w:bookmarkEnd w:id="10"/>
    <w:p>
      <w:pPr>
        <w:pStyle w:val="4"/>
        <w:bidi w:val="0"/>
        <w:rPr>
          <w:rFonts w:hint="default"/>
          <w:sz w:val="24"/>
          <w:szCs w:val="18"/>
          <w:lang w:val="en-US" w:eastAsia="zh-CN"/>
        </w:rPr>
      </w:pPr>
      <w:r>
        <w:rPr>
          <w:rFonts w:hint="eastAsia"/>
          <w:sz w:val="24"/>
          <w:szCs w:val="18"/>
          <w:lang w:val="en-US" w:eastAsia="zh-CN"/>
        </w:rPr>
        <w:t>Hardware Load Indicator</w:t>
      </w:r>
    </w:p>
    <w:p>
      <w:pPr>
        <w:rPr>
          <w:rFonts w:hint="default"/>
          <w:sz w:val="20"/>
          <w:szCs w:val="20"/>
          <w:lang w:val="en-US" w:eastAsia="zh-CN"/>
        </w:rPr>
      </w:pPr>
      <w:bookmarkStart w:id="11" w:name="OLE_LINK13"/>
      <w:r>
        <w:rPr>
          <w:rFonts w:hint="eastAsia"/>
          <w:lang w:val="en-US" w:eastAsia="zh-CN"/>
        </w:rPr>
        <w:t xml:space="preserve">In disaggregated gNB scenario, </w:t>
      </w:r>
      <w:r>
        <w:rPr>
          <w:rFonts w:hint="eastAsia"/>
          <w:sz w:val="20"/>
          <w:szCs w:val="20"/>
          <w:lang w:val="en-US" w:eastAsia="zh-CN"/>
        </w:rPr>
        <w:t>the gNB-CU should be well aware of the Hardware load of different gNB-DUs within the gNB to perform the intra-gNB load balancing. Therefore, the Hardware load should be supported over F1.</w:t>
      </w:r>
    </w:p>
    <w:p>
      <w:pPr>
        <w:rPr>
          <w:rFonts w:hint="default"/>
          <w:sz w:val="20"/>
          <w:szCs w:val="20"/>
          <w:lang w:val="en-US" w:eastAsia="zh-CN"/>
        </w:rPr>
      </w:pPr>
      <w:r>
        <w:rPr>
          <w:rFonts w:hint="eastAsia"/>
          <w:sz w:val="20"/>
          <w:szCs w:val="20"/>
          <w:lang w:val="en-US" w:eastAsia="zh-CN"/>
        </w:rPr>
        <w:t>However, as there is no PDCP entity in the gNB-DU, the Hardware load over F1 cannot be calculated by the throughput with kbps. Meanwhile, different from the gNB-CU-UP, the gNB-DU should support the Hardware load from both the control plane and the user plane. In this case, reusing the classification of Hardware load in LTE should be considered as an optimal way over F1, i,e, low load, medium load, high load and overload.</w:t>
      </w:r>
    </w:p>
    <w:p>
      <w:pPr>
        <w:numPr>
          <w:ilvl w:val="0"/>
          <w:numId w:val="0"/>
        </w:numPr>
        <w:rPr>
          <w:rFonts w:hint="default" w:eastAsia="宋体" w:cs="Times New Roman"/>
          <w:b/>
          <w:bCs/>
          <w:sz w:val="20"/>
          <w:szCs w:val="20"/>
          <w:highlight w:val="none"/>
          <w:u w:val="none"/>
          <w:lang w:val="en-US" w:eastAsia="zh-CN"/>
        </w:rPr>
      </w:pPr>
      <w:bookmarkStart w:id="12" w:name="OLE_LINK12"/>
      <w:r>
        <w:rPr>
          <w:rFonts w:hint="eastAsia"/>
          <w:b/>
          <w:bCs/>
          <w:highlight w:val="none"/>
          <w:u w:val="none"/>
          <w:lang w:val="en-US" w:eastAsia="zh-CN"/>
        </w:rPr>
        <w:t>Proposal 3: The classification of Hardware load in LTE can be considered in NR</w:t>
      </w:r>
      <w:r>
        <w:rPr>
          <w:rFonts w:hint="eastAsia" w:eastAsia="宋体" w:cs="Times New Roman"/>
          <w:b/>
          <w:bCs/>
          <w:sz w:val="20"/>
          <w:szCs w:val="20"/>
          <w:highlight w:val="none"/>
          <w:u w:val="none"/>
          <w:lang w:val="en-US" w:eastAsia="zh-CN"/>
        </w:rPr>
        <w:t>.</w:t>
      </w:r>
      <w:r>
        <w:rPr>
          <w:rFonts w:hint="eastAsia" w:cs="Times New Roman"/>
          <w:b/>
          <w:bCs/>
          <w:sz w:val="20"/>
          <w:szCs w:val="20"/>
          <w:highlight w:val="none"/>
          <w:u w:val="none"/>
          <w:lang w:val="en-US" w:eastAsia="zh-CN"/>
        </w:rPr>
        <w:t xml:space="preserve"> At least, the FFS of </w:t>
      </w:r>
      <w:r>
        <w:rPr>
          <w:rFonts w:hint="eastAsia" w:cs="Times New Roman"/>
          <w:b/>
          <w:bCs/>
          <w:i/>
          <w:iCs/>
          <w:sz w:val="20"/>
          <w:szCs w:val="20"/>
          <w:highlight w:val="none"/>
          <w:u w:val="none"/>
          <w:lang w:val="en-US" w:eastAsia="zh-CN"/>
        </w:rPr>
        <w:t>Hardware Load Indicator</w:t>
      </w:r>
      <w:r>
        <w:rPr>
          <w:rFonts w:hint="eastAsia" w:cs="Times New Roman"/>
          <w:b/>
          <w:bCs/>
          <w:sz w:val="20"/>
          <w:szCs w:val="20"/>
          <w:highlight w:val="none"/>
          <w:u w:val="none"/>
          <w:lang w:val="en-US" w:eastAsia="zh-CN"/>
        </w:rPr>
        <w:t xml:space="preserve"> over F1 should be removed.</w:t>
      </w:r>
    </w:p>
    <w:bookmarkEnd w:id="12"/>
    <w:p>
      <w:pPr>
        <w:pStyle w:val="4"/>
        <w:bidi w:val="0"/>
        <w:rPr>
          <w:sz w:val="24"/>
          <w:szCs w:val="18"/>
        </w:rPr>
      </w:pPr>
      <w:r>
        <w:rPr>
          <w:rFonts w:hint="eastAsia"/>
          <w:sz w:val="24"/>
          <w:szCs w:val="18"/>
          <w:lang w:val="en-US" w:eastAsia="zh-CN"/>
        </w:rPr>
        <w:t>Slice level Load</w:t>
      </w:r>
    </w:p>
    <w:bookmarkEnd w:id="11"/>
    <w:p>
      <w:pPr>
        <w:rPr>
          <w:rFonts w:hint="default"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In the deployment of NR, the slice can be applied in both gNB-DU and gNB-CU-UP at the same time, the gNB-DU and gNB-CU-UP can share the capability of the slice. With the different resource allocation method in the same slice for gNB-DU and gNB-CU-UP, the calculation method to measure the slice load should be different.</w:t>
      </w:r>
    </w:p>
    <w:p>
      <w:pPr>
        <w:rPr>
          <w:rFonts w:hint="default"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Furthermore, the per-slice load reported from the gNB-CU-UP can indicate the node-level slice load, while the per-slice load reported from the gNB-DU can indicate the cell-level slice load. Considering the Xn</w:t>
      </w:r>
      <w:r>
        <w:rPr>
          <w:rFonts w:hint="eastAsia" w:cs="Times New Roman"/>
          <w:sz w:val="20"/>
          <w:szCs w:val="20"/>
          <w:highlight w:val="none"/>
          <w:u w:val="none"/>
          <w:lang w:val="en-US" w:eastAsia="zh-CN"/>
        </w:rPr>
        <w:t xml:space="preserve"> interface</w:t>
      </w:r>
      <w:r>
        <w:rPr>
          <w:rFonts w:hint="eastAsia" w:eastAsia="宋体" w:cs="Times New Roman"/>
          <w:sz w:val="20"/>
          <w:szCs w:val="20"/>
          <w:highlight w:val="none"/>
          <w:u w:val="none"/>
          <w:lang w:val="en-US" w:eastAsia="zh-CN"/>
        </w:rPr>
        <w:t>, the combination of the node-level slice load and cell-level slice load can provide an overall slice load status of the target gNB. For the gNB without CU-DU split or CP/UP separation, the cell-level slice load maybe enough, but for the disaggregated gNB, both the cell-level and node-level slice load should be taken into account for the target gNB selection during the handover.</w:t>
      </w:r>
    </w:p>
    <w:p>
      <w:pPr>
        <w:rPr>
          <w:rFonts w:hint="default" w:eastAsia="宋体" w:cs="Times New Roman"/>
          <w:sz w:val="20"/>
          <w:szCs w:val="20"/>
          <w:highlight w:val="none"/>
          <w:u w:val="none"/>
          <w:lang w:val="en-US" w:eastAsia="zh-CN"/>
        </w:rPr>
      </w:pPr>
      <w:bookmarkStart w:id="13" w:name="OLE_LINK8"/>
      <w:r>
        <w:rPr>
          <w:rFonts w:hint="eastAsia"/>
          <w:b/>
          <w:bCs/>
          <w:highlight w:val="none"/>
          <w:u w:val="none"/>
          <w:lang w:val="en-US" w:eastAsia="zh-CN"/>
        </w:rPr>
        <w:t>Proposal 4: Both the cell-level and node-level slice load should be supported over Xn.</w:t>
      </w:r>
    </w:p>
    <w:bookmarkEnd w:id="5"/>
    <w:bookmarkEnd w:id="6"/>
    <w:bookmarkEnd w:id="7"/>
    <w:bookmarkEnd w:id="13"/>
    <w:p>
      <w:pPr>
        <w:pStyle w:val="2"/>
        <w:rPr>
          <w:lang w:val="en-US"/>
        </w:rPr>
      </w:pPr>
      <w:r>
        <w:rPr>
          <w:rFonts w:hint="eastAsia" w:eastAsia="宋体"/>
          <w:lang w:val="en-US" w:eastAsia="zh-CN"/>
        </w:rPr>
        <w:t>Conclusion</w:t>
      </w:r>
    </w:p>
    <w:p>
      <w:pPr>
        <w:widowControl w:val="0"/>
        <w:spacing w:after="0"/>
        <w:ind w:left="144" w:hanging="144"/>
        <w:rPr>
          <w:rFonts w:hint="default" w:ascii="Times New Roman" w:hAnsi="Times New Roman" w:cs="Times New Roman"/>
          <w:b/>
          <w:bCs/>
          <w:color w:val="00B050"/>
          <w:sz w:val="20"/>
          <w:szCs w:val="28"/>
          <w:highlight w:val="none"/>
          <w:u w:val="none"/>
        </w:rPr>
      </w:pPr>
      <w:r>
        <w:rPr>
          <w:rFonts w:hint="eastAsia"/>
          <w:b/>
          <w:bCs/>
          <w:u w:val="none"/>
          <w:lang w:val="en-US" w:eastAsia="zh-CN"/>
        </w:rPr>
        <w:t xml:space="preserve">Proposal 1: The  agreement of last meeting about the reporting mechanism should be changed to </w:t>
      </w:r>
      <w:r>
        <w:rPr>
          <w:rFonts w:hint="default"/>
          <w:b/>
          <w:bCs/>
          <w:u w:val="none"/>
          <w:lang w:val="en-US" w:eastAsia="zh-CN"/>
        </w:rPr>
        <w:t>“</w:t>
      </w:r>
      <w:r>
        <w:rPr>
          <w:rFonts w:hint="default" w:ascii="Times New Roman" w:hAnsi="Times New Roman" w:cs="Times New Roman"/>
          <w:b/>
          <w:bCs/>
          <w:color w:val="00B050"/>
          <w:sz w:val="20"/>
          <w:szCs w:val="28"/>
          <w:highlight w:val="none"/>
          <w:u w:val="none"/>
        </w:rPr>
        <w:t>If</w:t>
      </w:r>
    </w:p>
    <w:p>
      <w:pPr>
        <w:widowControl w:val="0"/>
        <w:spacing w:after="0"/>
        <w:ind w:left="144" w:hanging="144"/>
        <w:rPr>
          <w:rFonts w:hint="eastAsia" w:ascii="Times New Roman" w:hAnsi="Times New Roman" w:cs="Times New Roman"/>
          <w:b/>
          <w:bCs/>
          <w:color w:val="00B050"/>
          <w:sz w:val="20"/>
          <w:szCs w:val="28"/>
          <w:highlight w:val="yellow"/>
          <w:u w:val="none"/>
          <w:lang w:val="en-US" w:eastAsia="zh-CN"/>
        </w:rPr>
      </w:pPr>
      <w:r>
        <w:rPr>
          <w:rFonts w:hint="default" w:ascii="Times New Roman" w:hAnsi="Times New Roman" w:cs="Times New Roman"/>
          <w:b/>
          <w:bCs/>
          <w:color w:val="00B050"/>
          <w:sz w:val="20"/>
          <w:szCs w:val="28"/>
          <w:highlight w:val="none"/>
          <w:u w:val="none"/>
        </w:rPr>
        <w:t>measurements are already initiated</w:t>
      </w:r>
      <w:r>
        <w:rPr>
          <w:rFonts w:hint="eastAsia" w:cs="Times New Roman"/>
          <w:b/>
          <w:bCs/>
          <w:color w:val="00B050"/>
          <w:sz w:val="20"/>
          <w:szCs w:val="28"/>
          <w:highlight w:val="none"/>
          <w:u w:val="none"/>
          <w:lang w:val="en-US" w:eastAsia="zh-CN"/>
        </w:rPr>
        <w:t xml:space="preserve"> </w:t>
      </w:r>
      <w:r>
        <w:rPr>
          <w:rFonts w:hint="default" w:ascii="Times New Roman" w:hAnsi="Times New Roman" w:cs="Times New Roman"/>
          <w:b/>
          <w:bCs/>
          <w:color w:val="00B050"/>
          <w:sz w:val="20"/>
          <w:szCs w:val="28"/>
          <w:highlight w:val="none"/>
          <w:u w:val="none"/>
        </w:rPr>
        <w:t>for a cell indicated in the Cell To Report IE</w:t>
      </w:r>
      <w:r>
        <w:rPr>
          <w:rFonts w:hint="eastAsia" w:ascii="Times New Roman" w:hAnsi="Times New Roman" w:cs="Times New Roman"/>
          <w:b/>
          <w:bCs/>
          <w:color w:val="00B050"/>
          <w:sz w:val="20"/>
          <w:szCs w:val="28"/>
          <w:highlight w:val="none"/>
          <w:u w:val="none"/>
          <w:lang w:val="en-US" w:eastAsia="zh-CN"/>
        </w:rPr>
        <w:t xml:space="preserve"> </w:t>
      </w:r>
      <w:r>
        <w:rPr>
          <w:rFonts w:hint="eastAsia" w:cs="Times New Roman"/>
          <w:b/>
          <w:bCs/>
          <w:color w:val="00B050"/>
          <w:sz w:val="20"/>
          <w:szCs w:val="28"/>
          <w:highlight w:val="yellow"/>
          <w:u w:val="none"/>
          <w:lang w:val="en-US" w:eastAsia="zh-CN"/>
        </w:rPr>
        <w:t xml:space="preserve">and </w:t>
      </w:r>
      <w:r>
        <w:rPr>
          <w:rFonts w:hint="eastAsia" w:ascii="Times New Roman" w:hAnsi="Times New Roman" w:cs="Times New Roman"/>
          <w:b/>
          <w:bCs/>
          <w:color w:val="00B050"/>
          <w:sz w:val="20"/>
          <w:szCs w:val="28"/>
          <w:highlight w:val="yellow"/>
          <w:u w:val="none"/>
          <w:lang w:val="en-US" w:eastAsia="zh-CN"/>
        </w:rPr>
        <w:t>with the same Measurement</w:t>
      </w:r>
    </w:p>
    <w:p>
      <w:pPr>
        <w:widowControl w:val="0"/>
        <w:spacing w:after="0"/>
        <w:ind w:left="144" w:hanging="144"/>
        <w:rPr>
          <w:rFonts w:hint="eastAsia"/>
          <w:b/>
          <w:bCs/>
          <w:u w:val="none"/>
          <w:lang w:val="en-US" w:eastAsia="zh-CN"/>
        </w:rPr>
      </w:pPr>
      <w:r>
        <w:rPr>
          <w:rFonts w:hint="eastAsia" w:ascii="Times New Roman" w:hAnsi="Times New Roman" w:cs="Times New Roman"/>
          <w:b/>
          <w:bCs/>
          <w:color w:val="00B050"/>
          <w:sz w:val="20"/>
          <w:szCs w:val="28"/>
          <w:highlight w:val="yellow"/>
          <w:u w:val="none"/>
          <w:lang w:val="en-US" w:eastAsia="zh-CN"/>
        </w:rPr>
        <w:t>ID</w:t>
      </w:r>
      <w:r>
        <w:rPr>
          <w:rFonts w:hint="default" w:ascii="Times New Roman" w:hAnsi="Times New Roman" w:cs="Times New Roman"/>
          <w:b/>
          <w:bCs/>
          <w:color w:val="00B050"/>
          <w:sz w:val="20"/>
          <w:szCs w:val="28"/>
          <w:highlight w:val="none"/>
          <w:u w:val="none"/>
        </w:rPr>
        <w:t>,</w:t>
      </w:r>
      <w:r>
        <w:rPr>
          <w:rFonts w:hint="eastAsia" w:cs="Times New Roman"/>
          <w:b/>
          <w:bCs/>
          <w:color w:val="00B050"/>
          <w:sz w:val="20"/>
          <w:szCs w:val="28"/>
          <w:highlight w:val="none"/>
          <w:u w:val="none"/>
          <w:lang w:val="en-US" w:eastAsia="zh-CN"/>
        </w:rPr>
        <w:t xml:space="preserve"> </w:t>
      </w:r>
      <w:r>
        <w:rPr>
          <w:rFonts w:hint="default" w:ascii="Times New Roman" w:hAnsi="Times New Roman" w:cs="Times New Roman"/>
          <w:b/>
          <w:bCs/>
          <w:color w:val="00B050"/>
          <w:sz w:val="20"/>
          <w:szCs w:val="28"/>
          <w:highlight w:val="none"/>
          <w:u w:val="none"/>
        </w:rPr>
        <w:t>this information shall be ignored</w:t>
      </w:r>
      <w:r>
        <w:rPr>
          <w:rFonts w:hint="default"/>
          <w:b/>
          <w:bCs/>
          <w:u w:val="none"/>
          <w:lang w:val="en-US" w:eastAsia="zh-CN"/>
        </w:rPr>
        <w:t>”</w:t>
      </w:r>
      <w:r>
        <w:rPr>
          <w:rFonts w:hint="eastAsia"/>
          <w:b/>
          <w:bCs/>
          <w:u w:val="none"/>
          <w:lang w:val="en-US" w:eastAsia="zh-CN"/>
        </w:rPr>
        <w:t xml:space="preserve">. </w:t>
      </w:r>
    </w:p>
    <w:p>
      <w:pPr>
        <w:widowControl w:val="0"/>
        <w:spacing w:after="0"/>
        <w:ind w:left="144" w:hanging="144"/>
        <w:rPr>
          <w:rFonts w:hint="default"/>
          <w:b/>
          <w:bCs/>
          <w:u w:val="none"/>
          <w:lang w:val="en-US" w:eastAsia="zh-CN"/>
        </w:rPr>
      </w:pPr>
    </w:p>
    <w:p>
      <w:pPr>
        <w:rPr>
          <w:rFonts w:hint="eastAsia"/>
          <w:b/>
          <w:bCs/>
          <w:highlight w:val="none"/>
          <w:u w:val="none"/>
          <w:lang w:val="en-US" w:eastAsia="zh-CN"/>
        </w:rPr>
      </w:pPr>
      <w:r>
        <w:rPr>
          <w:rFonts w:hint="eastAsia"/>
          <w:b/>
          <w:bCs/>
          <w:highlight w:val="none"/>
          <w:u w:val="none"/>
          <w:lang w:val="en-US" w:eastAsia="zh-CN"/>
        </w:rPr>
        <w:t>Proposal 2: Both the per-cell and per-node TNL load should be supported over EN-DC X2 and Xn.</w:t>
      </w:r>
    </w:p>
    <w:p>
      <w:pPr>
        <w:numPr>
          <w:ilvl w:val="0"/>
          <w:numId w:val="0"/>
        </w:numPr>
        <w:rPr>
          <w:rFonts w:hint="default" w:eastAsia="宋体" w:cs="Times New Roman"/>
          <w:b/>
          <w:bCs/>
          <w:sz w:val="20"/>
          <w:szCs w:val="20"/>
          <w:highlight w:val="none"/>
          <w:u w:val="none"/>
          <w:lang w:val="en-US" w:eastAsia="zh-CN"/>
        </w:rPr>
      </w:pPr>
      <w:r>
        <w:rPr>
          <w:rFonts w:hint="eastAsia"/>
          <w:b/>
          <w:bCs/>
          <w:highlight w:val="none"/>
          <w:u w:val="none"/>
          <w:lang w:val="en-US" w:eastAsia="zh-CN"/>
        </w:rPr>
        <w:t>Proposal 3: The classification of Hardware load in LTE can be considered in NR</w:t>
      </w:r>
      <w:r>
        <w:rPr>
          <w:rFonts w:hint="eastAsia" w:eastAsia="宋体" w:cs="Times New Roman"/>
          <w:b/>
          <w:bCs/>
          <w:sz w:val="20"/>
          <w:szCs w:val="20"/>
          <w:highlight w:val="none"/>
          <w:u w:val="none"/>
          <w:lang w:val="en-US" w:eastAsia="zh-CN"/>
        </w:rPr>
        <w:t>.</w:t>
      </w:r>
      <w:r>
        <w:rPr>
          <w:rFonts w:hint="eastAsia" w:cs="Times New Roman"/>
          <w:b/>
          <w:bCs/>
          <w:sz w:val="20"/>
          <w:szCs w:val="20"/>
          <w:highlight w:val="none"/>
          <w:u w:val="none"/>
          <w:lang w:val="en-US" w:eastAsia="zh-CN"/>
        </w:rPr>
        <w:t xml:space="preserve"> At least, the FFS of </w:t>
      </w:r>
      <w:r>
        <w:rPr>
          <w:rFonts w:hint="eastAsia" w:cs="Times New Roman"/>
          <w:b/>
          <w:bCs/>
          <w:i/>
          <w:iCs/>
          <w:sz w:val="20"/>
          <w:szCs w:val="20"/>
          <w:highlight w:val="none"/>
          <w:u w:val="none"/>
          <w:lang w:val="en-US" w:eastAsia="zh-CN"/>
        </w:rPr>
        <w:t>Hardware Load Indicator</w:t>
      </w:r>
      <w:r>
        <w:rPr>
          <w:rFonts w:hint="eastAsia" w:cs="Times New Roman"/>
          <w:b/>
          <w:bCs/>
          <w:sz w:val="20"/>
          <w:szCs w:val="20"/>
          <w:highlight w:val="none"/>
          <w:u w:val="none"/>
          <w:lang w:val="en-US" w:eastAsia="zh-CN"/>
        </w:rPr>
        <w:t xml:space="preserve"> over F1 should be removed.</w:t>
      </w:r>
    </w:p>
    <w:p>
      <w:pPr>
        <w:rPr>
          <w:rFonts w:hint="eastAsia" w:eastAsia="宋体" w:cs="Times New Roman"/>
          <w:b/>
          <w:bCs/>
          <w:sz w:val="20"/>
          <w:szCs w:val="20"/>
          <w:highlight w:val="none"/>
          <w:u w:val="none"/>
          <w:lang w:val="en-US" w:eastAsia="zh-CN"/>
        </w:rPr>
      </w:pPr>
      <w:r>
        <w:rPr>
          <w:rFonts w:hint="eastAsia"/>
          <w:b/>
          <w:bCs/>
          <w:highlight w:val="none"/>
          <w:u w:val="none"/>
          <w:lang w:val="en-US" w:eastAsia="zh-CN"/>
        </w:rPr>
        <w:t>Proposal 4: Both the cell-level and node-level slice load should be supported over Xn.</w:t>
      </w:r>
    </w:p>
    <w:p>
      <w:pPr>
        <w:numPr>
          <w:ilvl w:val="0"/>
          <w:numId w:val="0"/>
        </w:numPr>
        <w:rPr>
          <w:rFonts w:hint="default"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The corresponding TPs are given in [2][3]</w:t>
      </w:r>
      <w:r>
        <w:rPr>
          <w:rFonts w:hint="eastAsia" w:cs="Times New Roman"/>
          <w:b/>
          <w:bCs/>
          <w:sz w:val="20"/>
          <w:szCs w:val="20"/>
          <w:highlight w:val="none"/>
          <w:u w:val="none"/>
          <w:lang w:val="en-US" w:eastAsia="zh-CN"/>
        </w:rPr>
        <w:t>[4]</w:t>
      </w:r>
      <w:r>
        <w:rPr>
          <w:rFonts w:hint="eastAsia" w:eastAsia="宋体" w:cs="Times New Roman"/>
          <w:b/>
          <w:bCs/>
          <w:sz w:val="20"/>
          <w:szCs w:val="20"/>
          <w:highlight w:val="none"/>
          <w:u w:val="none"/>
          <w:lang w:val="en-US" w:eastAsia="zh-CN"/>
        </w:rPr>
        <w:t>.</w:t>
      </w:r>
    </w:p>
    <w:p>
      <w:pPr>
        <w:pStyle w:val="2"/>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14" w:name="OLE_LINK1"/>
      <w:r>
        <w:rPr>
          <w:rFonts w:hint="eastAsia"/>
          <w:lang w:val="en-US" w:eastAsia="zh-CN"/>
        </w:rPr>
        <w:t xml:space="preserve">R3-201130  </w:t>
      </w:r>
      <w:r>
        <w:rPr>
          <w:rFonts w:hint="eastAsia"/>
          <w:sz w:val="21"/>
          <w:szCs w:val="22"/>
          <w:lang w:val="en-US"/>
        </w:rPr>
        <w:t>Summary of offline discussion for CB: # 27_Email027-MLB_Xn_X2_F1_E1</w:t>
      </w:r>
      <w:r>
        <w:rPr>
          <w:rFonts w:hint="eastAsia"/>
          <w:sz w:val="21"/>
          <w:szCs w:val="22"/>
          <w:lang w:val="en-US" w:eastAsia="zh-CN"/>
        </w:rPr>
        <w:t xml:space="preserve">  </w:t>
      </w:r>
      <w:r>
        <w:rPr>
          <w:rFonts w:hint="eastAsia"/>
          <w:lang w:val="en-US" w:eastAsia="zh-CN"/>
        </w:rPr>
        <w:t>Nokia</w:t>
      </w:r>
    </w:p>
    <w:p>
      <w:pPr>
        <w:numPr>
          <w:ilvl w:val="0"/>
          <w:numId w:val="11"/>
        </w:numPr>
        <w:rPr>
          <w:rFonts w:hint="eastAsia"/>
          <w:lang w:val="en-US" w:eastAsia="zh-CN"/>
        </w:rPr>
      </w:pPr>
      <w:r>
        <w:rPr>
          <w:rFonts w:hint="eastAsia"/>
          <w:lang w:val="en-US" w:eastAsia="zh-CN"/>
        </w:rPr>
        <w:t xml:space="preserve">R3-202397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6</w:t>
      </w:r>
      <w:r>
        <w:rPr>
          <w:sz w:val="21"/>
          <w:szCs w:val="22"/>
          <w:lang w:val="en-US"/>
        </w:rPr>
        <w:t>.</w:t>
      </w:r>
      <w:r>
        <w:rPr>
          <w:rFonts w:hint="eastAsia"/>
          <w:sz w:val="21"/>
          <w:szCs w:val="22"/>
          <w:lang w:val="en-US" w:eastAsia="zh-CN"/>
        </w:rPr>
        <w:t>4</w:t>
      </w:r>
      <w:r>
        <w:rPr>
          <w:sz w:val="21"/>
          <w:szCs w:val="22"/>
          <w:lang w:val="en-US"/>
        </w:rPr>
        <w:t>23)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p>
      <w:pPr>
        <w:numPr>
          <w:ilvl w:val="0"/>
          <w:numId w:val="11"/>
        </w:numPr>
        <w:rPr>
          <w:rFonts w:hint="eastAsia"/>
          <w:lang w:val="en-US" w:eastAsia="zh-CN"/>
        </w:rPr>
      </w:pPr>
      <w:bookmarkStart w:id="15" w:name="OLE_LINK9"/>
      <w:r>
        <w:rPr>
          <w:rFonts w:hint="eastAsia"/>
          <w:lang w:val="en-US" w:eastAsia="zh-CN"/>
        </w:rPr>
        <w:t xml:space="preserve">R3-202398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8</w:t>
      </w:r>
      <w:r>
        <w:rPr>
          <w:sz w:val="21"/>
          <w:szCs w:val="22"/>
          <w:lang w:val="en-US"/>
        </w:rPr>
        <w:t>.</w:t>
      </w:r>
      <w:r>
        <w:rPr>
          <w:rFonts w:hint="eastAsia"/>
          <w:sz w:val="21"/>
          <w:szCs w:val="22"/>
          <w:lang w:val="en-US" w:eastAsia="zh-CN"/>
        </w:rPr>
        <w:t>4</w:t>
      </w:r>
      <w:r>
        <w:rPr>
          <w:sz w:val="21"/>
          <w:szCs w:val="22"/>
          <w:lang w:val="en-US"/>
        </w:rPr>
        <w:t>23)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bookmarkEnd w:id="15"/>
    <w:p>
      <w:pPr>
        <w:numPr>
          <w:ilvl w:val="0"/>
          <w:numId w:val="11"/>
        </w:numPr>
        <w:rPr>
          <w:rFonts w:hint="eastAsia"/>
          <w:lang w:val="en-US" w:eastAsia="zh-CN"/>
        </w:rPr>
      </w:pPr>
      <w:r>
        <w:rPr>
          <w:rFonts w:hint="eastAsia"/>
          <w:lang w:val="en-US" w:eastAsia="zh-CN"/>
        </w:rPr>
        <w:t xml:space="preserve">R3-202399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8</w:t>
      </w:r>
      <w:r>
        <w:rPr>
          <w:sz w:val="21"/>
          <w:szCs w:val="22"/>
          <w:lang w:val="en-US"/>
        </w:rPr>
        <w:t>.4</w:t>
      </w:r>
      <w:r>
        <w:rPr>
          <w:rFonts w:hint="eastAsia"/>
          <w:sz w:val="21"/>
          <w:szCs w:val="22"/>
          <w:lang w:val="en-US" w:eastAsia="zh-CN"/>
        </w:rPr>
        <w:t>7</w:t>
      </w:r>
      <w:r>
        <w:rPr>
          <w:sz w:val="21"/>
          <w:szCs w:val="22"/>
          <w:lang w:val="en-US"/>
        </w:rPr>
        <w:t>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bookmarkEnd w:id="14"/>
    <w:p>
      <w:pPr>
        <w:rPr>
          <w:rFonts w:hint="eastAsia"/>
          <w:iCs/>
          <w:lang w:val="en-US" w:eastAsia="zh-CN"/>
        </w:rPr>
      </w:pPr>
      <w:bookmarkStart w:id="16" w:name="_GoBack"/>
      <w:bookmarkEnd w:id="16"/>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D214A"/>
    <w:rsid w:val="09BD6FFC"/>
    <w:rsid w:val="09BF47D7"/>
    <w:rsid w:val="09CB4714"/>
    <w:rsid w:val="0A09524D"/>
    <w:rsid w:val="0A6213B0"/>
    <w:rsid w:val="0A6F39E4"/>
    <w:rsid w:val="0A700F10"/>
    <w:rsid w:val="0A8E551C"/>
    <w:rsid w:val="0A914C00"/>
    <w:rsid w:val="0ADF03A2"/>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ED2634D"/>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9F196E"/>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95291A"/>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0</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2020-04-10T02:55:50Z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